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E" w:rsidRDefault="00B2240E" w:rsidP="00B2240E">
      <w:pPr>
        <w:pStyle w:val="NormalWeb"/>
        <w:shd w:val="clear" w:color="auto" w:fill="FFFFFF"/>
        <w:spacing w:before="0" w:beforeAutospacing="0" w:after="0" w:afterAutospacing="0" w:line="250" w:lineRule="atLeast"/>
        <w:jc w:val="center"/>
        <w:textAlignment w:val="baseline"/>
        <w:rPr>
          <w:rFonts w:ascii="Tahoma" w:hAnsi="Tahoma" w:cs="Tahoma"/>
          <w:color w:val="666666"/>
          <w:sz w:val="15"/>
          <w:szCs w:val="15"/>
        </w:rPr>
      </w:pPr>
      <w:r>
        <w:rPr>
          <w:rStyle w:val="Strong"/>
          <w:rFonts w:ascii="Tahoma" w:hAnsi="Tahoma" w:cs="Tahoma"/>
          <w:color w:val="800080"/>
          <w:sz w:val="15"/>
          <w:szCs w:val="15"/>
          <w:bdr w:val="none" w:sz="0" w:space="0" w:color="auto" w:frame="1"/>
          <w:rtl/>
        </w:rPr>
        <w:t>آيين‌نامه صدور پروانه كسب موقت</w:t>
      </w:r>
    </w:p>
    <w:p w:rsidR="00B2240E" w:rsidRDefault="00B2240E" w:rsidP="00B2240E">
      <w:pPr>
        <w:pStyle w:val="NormalWeb"/>
        <w:shd w:val="clear" w:color="auto" w:fill="FFFFFF"/>
        <w:spacing w:before="0" w:beforeAutospacing="0" w:after="0" w:afterAutospacing="0" w:line="250" w:lineRule="atLeast"/>
        <w:jc w:val="center"/>
        <w:textAlignment w:val="baseline"/>
        <w:rPr>
          <w:rFonts w:ascii="Tahoma" w:hAnsi="Tahoma" w:cs="Tahoma"/>
          <w:color w:val="666666"/>
          <w:sz w:val="15"/>
          <w:szCs w:val="15"/>
        </w:rPr>
      </w:pPr>
      <w:r>
        <w:rPr>
          <w:rStyle w:val="Strong"/>
          <w:rFonts w:ascii="Tahoma" w:hAnsi="Tahoma" w:cs="Tahoma"/>
          <w:color w:val="0000FF"/>
          <w:sz w:val="15"/>
          <w:szCs w:val="15"/>
          <w:bdr w:val="none" w:sz="0" w:space="0" w:color="auto" w:frame="1"/>
        </w:rPr>
        <w:t> </w:t>
      </w:r>
      <w:r>
        <w:rPr>
          <w:rStyle w:val="Strong"/>
          <w:rFonts w:ascii="Tahoma" w:hAnsi="Tahoma" w:cs="Tahoma"/>
          <w:color w:val="0000FF"/>
          <w:sz w:val="15"/>
          <w:szCs w:val="15"/>
          <w:bdr w:val="none" w:sz="0" w:space="0" w:color="auto" w:frame="1"/>
          <w:rtl/>
        </w:rPr>
        <w:t>آيين‌نامه صدور پروانه كسب موقت براي توسعه واحدهاي صنفي و جلوگيري از توسعه واحدهاي بدون پروانه فعاليت</w:t>
      </w:r>
      <w:r>
        <w:rPr>
          <w:rStyle w:val="Strong"/>
          <w:rFonts w:ascii="Tahoma" w:hAnsi="Tahoma" w:cs="Tahoma"/>
          <w:color w:val="0000FF"/>
          <w:sz w:val="15"/>
          <w:szCs w:val="15"/>
          <w:bdr w:val="none" w:sz="0" w:space="0" w:color="auto" w:frame="1"/>
        </w:rPr>
        <w:t xml:space="preserve"> .</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وزارت بازرگاني ـ وزارت امور اقتصادي و دارايي ـ وزارت صنايع و معادن وزارت كار و اموراجتماعي ـ وزارت رفاه و تامين اجتماعي ـ وزارت كشور وزيران عضو كارگروه حل مشكلات اصناف به استناد اصل يكصد و سي و هشتم قانون اساسي جمهوري اسلامي ايران و با رعايت تصويب‌نامه شماره ۶۰۷۸۷/ت۳۷۶۸۷هـ مورخ ۲۰/۴/۱۳۸۶ آيين‌نامه صدور پروانه كسب موقت براي توسعه واحدهاي صنفي و جلوگيري از توسعه واحدهاي بدون پروانه فعاليت را به شرح زير تصويب نمودند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jc w:val="center"/>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آيين‌نامه صدور پروانه كسب موقت براي توسعه واحدهاي صنفي و جلوگيري از توسعه واحدهاي بدون پروانه فعاليت</w:t>
      </w:r>
      <w:r>
        <w:rPr>
          <w:rStyle w:val="Strong"/>
          <w:rFonts w:ascii="Tahoma" w:hAnsi="Tahoma" w:cs="Tahoma"/>
          <w:color w:val="666666"/>
          <w:sz w:val="15"/>
          <w:szCs w:val="15"/>
          <w:bdr w:val="none" w:sz="0" w:space="0" w:color="auto" w:frame="1"/>
        </w:rPr>
        <w:t xml:space="preserve"> .</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ماده۱ـ</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مجامع امور صنفي موظفند از طريق رسانه‌هاي گروهي مانند روزنامه‌هاي كثيرالانتشار محلي و ارسال دعوتنامه، نسبت به فراخوان واحدهاي فاقد پروانه كسب كه در حال فعاليت مي‌باشند اقدام نمايند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ماده۲ـ</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واحدهاي بازرسي و نظارت شوراي اصناف كشور موضوع ماده (۴۵) قانون نظام صنفي كشور ـ مصوب۱۳۸۲ـ درخصوص شناسايي و اعلام اخطار به واحدهاي صنفي فاقد پروانه كسب با مجامع امور صنفي همكاري لازم را به عمل خواهند آورد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ماده۳ـ</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صاحبان واحدهاي صنفي فاقد پروانه كسب موظفند جهت ادامه فعاليتهاي صنفي خود ظرف دو ماه از تاريخ ابلاغ اين آيين‌نامه به اتحاديه‌هاي صنفي مربوط مراجعه و با تسليم تقاضاي كتبي و ارائه مدارك لازم نسبت به اخذ پروانه كسب دائم و يا موقت اقدام نمايند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ماده۴ـ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شرايط و ضوابط لازم براي صدور پروانه كسب موقت به شرح زير مي‌باشد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الف ـ ارائه سند مالكيت يا اجاره‌نامه رسمي يا عادي و يا مبايعه‌نامه با ارائه قراردادهاي منعقده في‌مابين متقاضي و اشخاص حقيقي و حقوقي اعم از دولتي و غيردولتي كه حاكي از انتقال يا خريد عين يا منافع واحد باشد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ب ـ گواهي پايان خدمت يا معافيت دائم پزشكي يا معافيت تحصيلي براي آقايان</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ج ـ گواهي سلامت و بهداشت شخصي و محل كسب از وزارت بهداشت، درمان و آموزش پزشكي براي صنوفي كه مشمول قانون موادخوردني و آشاميدني و آرايشي و بهداشتي ـ مصوب۱۳۴۶ـ هستند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د ـ موافقت پليس نظارت بر اماكن عمومي نيروي انتظامي جمهوري اسلامي ايران</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هـ ـ داشتن پروانه كار معتبر از وزارت كار و امور اجتماعي و پروانه اقامت معتبر از وزارت كشور براي اتباع بيگانه</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و ـ مدارك لازم دال بر دارا بودن صلاحيت فني براي مشاغل خاص براساس آيين‌نامه مربوط</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ماده۵ 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متقاضيان دريافت پروانه كسب موقت موظفند هنگام دريافت پروانه كسب نسبت به پرداخت حق عضويت و مبالغي كه طبق قانون و مقررات نظام صنفي تعيين گرديده اقدام نمايند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Pr>
        <w:t> </w:t>
      </w:r>
      <w:r>
        <w:rPr>
          <w:rStyle w:val="Strong"/>
          <w:rFonts w:ascii="Tahoma" w:hAnsi="Tahoma" w:cs="Tahoma"/>
          <w:color w:val="666666"/>
          <w:sz w:val="15"/>
          <w:szCs w:val="15"/>
          <w:bdr w:val="none" w:sz="0" w:space="0" w:color="auto" w:frame="1"/>
          <w:rtl/>
        </w:rPr>
        <w:t>ماده۶ 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اتحاديه‌هاي صنفي موظفند در صورت واجد شرايط بودن افراد فاقد پروانه كسب نسبت به صدور پروانه كسب دايم ظرف ده روز اقدام نمايند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ماده۷ـ</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در صورتي كه افراد فاقد پروانه كسب، واجد يكي از شرايط لازم براي صدور پروانه كسب موقت نباشند مي‌توانند با موافقت اتحاديه‌هاي صنفي و با سپردن تعهد كتبي ضمن ادامه فعاليت ظرف سه ماه نسبت به تكميل پرونده صنفي خود اقدام نمايند. تبصره ـ در صورتي كه متقاضي ظرف مدت يادشده نتواند پرونده خود را تكميل نمايد اتحاديه موظف به معرفي واحد صنفي وي به پليس نظارت بر اماكن نيروي انتظامي به منظور اجراي ماده (۲۷) قانون نظام صنفي كشور ـ مصوب۱۳۸۲ـ مي‌باشد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ماده۸</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ـ پروانه كسب موقت براي واحدهاي صنفي كه صاحبان آنها فوت نموده‌اند به نام يكي از وراث يا نماينده قانوني آنها با ارايه گواهي انحصار وراثت و رضايت تمامي وراث كه امضاي آنان توسط دفترخانه اسناد رسمي گواهي شده باشد و با رعايت مقررات مندرج در اين آيين‌نامه صادره</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ماده۹ـ</w:t>
      </w:r>
      <w:r>
        <w:rPr>
          <w:rStyle w:val="apple-converted-space"/>
          <w:rFonts w:ascii="Tahoma" w:hAnsi="Tahoma" w:cs="Tahoma"/>
          <w:b/>
          <w:bCs/>
          <w:color w:val="666666"/>
          <w:sz w:val="15"/>
          <w:szCs w:val="15"/>
          <w:bdr w:val="none" w:sz="0" w:space="0" w:color="auto" w:frame="1"/>
        </w:rPr>
        <w:t> </w:t>
      </w:r>
      <w:r>
        <w:rPr>
          <w:rFonts w:ascii="Tahoma" w:hAnsi="Tahoma" w:cs="Tahoma"/>
          <w:color w:val="666666"/>
          <w:sz w:val="15"/>
          <w:szCs w:val="15"/>
          <w:bdr w:val="none" w:sz="0" w:space="0" w:color="auto" w:frame="1"/>
          <w:rtl/>
        </w:rPr>
        <w:t>براي اشخاص حقوقي (شركتها) و مشاركتهاي مدني يك پروانه كسب موقت به نام شركت با ذكر نام مديرعامل و يا احدي از شركا در مشاركتهاي مدني (كه توسط ساير شركا كتباً معرفي و امضاي آنان توسط دفترخانه اسناد رسمي گواهي شده باشد) در صورت احراز ساير شرايط صادر مي‌گردد. تبصره ـ عدول احتمالي هر يك از شركا از اذن خود در مشاركتهاي مدني مانع اعتبار پروانه كسب موقت در طول مدت اعتبار پروانه كسب موقت نخواهدبود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ماده۱۰ـ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اتحاديه صنفي مربوط پس از دريافت تقاضاي متقاضي و تكميل مدارك لازم، پروانه كسب موقت را در چهار نسخه صادر كه نسخه اصلي به متقاضي داده مي‌شود و يك نسخه در پرونده صنفي متقاضي در اتحاديه نگهداري، يك نسخه براي پليس نظارت بر اماكن عمومي نيروي انتظامي جمهوري اسلامي ايران و يك نسخه جهت مجمع امور صنفي مربوط ارسال مي‌گردد. تبصره۱ـ مدت اعتبار پروانه كسب موقت از تاريخ صدور يكسال شمسي مي‌باشد. تبصره۲ـ در صورتي كه متقاضي نتواند ظرف يك سال نسبت به تكميل مدارك جهت اخذ پروانه كسب دايم اقدام نمايد در اين صورت پروانه كسب موقت حق مكتسبه‌اي جهت نامبرده براي اخذ پروانه كسب دايم ايجاد نمي‌نمايد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ماده۱۱ـ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صدور پروانه كسب موقت براي واحدهاي صنفي واقع در طرحهاي جامع، تفصيلي و هادي شهرسازي مانع اجراي مقررات قانون شهرداري در مورد واحدهاي يادشده نيست</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ماده۱۲</w:t>
      </w:r>
      <w:r>
        <w:rPr>
          <w:rFonts w:ascii="Tahoma" w:hAnsi="Tahoma" w:cs="Tahoma"/>
          <w:color w:val="666666"/>
          <w:sz w:val="15"/>
          <w:szCs w:val="15"/>
          <w:bdr w:val="none" w:sz="0" w:space="0" w:color="auto" w:frame="1"/>
          <w:rtl/>
        </w:rPr>
        <w:t>ـ پروانه كسبهاي موقت صرفاً در سطح شهرهاي كشور كه داراي سازمانهاي صنفي مي‌باشند باشكل و الگوي يكساني كه توسط دبيرخانه هيئت عالي نظارت تهيه و اعلام مي‌شود صادر خواهدشد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ماده۱۳ـ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سازمانهاي استعلام‌شونده در اين آيين‌نامه موظفند ظرف پانزده روز از تاريخ دريافت استعلام، نظر خود را به صورت قطعي اعلام نمايند، عدم اعلام نظر در مهلت قانوني به منزله تاييد محسوب مي‌شود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ماده۱۴</w:t>
      </w:r>
      <w:r>
        <w:rPr>
          <w:rFonts w:ascii="Tahoma" w:hAnsi="Tahoma" w:cs="Tahoma"/>
          <w:color w:val="666666"/>
          <w:sz w:val="15"/>
          <w:szCs w:val="15"/>
          <w:bdr w:val="none" w:sz="0" w:space="0" w:color="auto" w:frame="1"/>
          <w:rtl/>
        </w:rPr>
        <w:t>ـ مجامع امور صنفي با استفاده از اختيارات حاصل از بند (د) ماده (۳۷) قانون نظام صنفي كشور ـ مصوب۱۳۸۲ـ مكلفند بر نحوه عملكرد اتحاديه‌هاي تحت پوشش درخصوص صدور پروانه‌هاي كسب موقت نظارت نمايند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ماده۱۵</w:t>
      </w:r>
      <w:r>
        <w:rPr>
          <w:rFonts w:ascii="Tahoma" w:hAnsi="Tahoma" w:cs="Tahoma"/>
          <w:color w:val="666666"/>
          <w:sz w:val="15"/>
          <w:szCs w:val="15"/>
          <w:bdr w:val="none" w:sz="0" w:space="0" w:color="auto" w:frame="1"/>
          <w:rtl/>
        </w:rPr>
        <w:t>ـ شوراي اصناف كشور مكلف است به نحو مقتضي افراد صنفي فاقد پروانه كسب را به لزوم مراجعه به اتحاديه‌هاي صنفي مربوط جهت تشكيل پرونده و اقدام به منظور دريافت پروانه كسب موقت راهنمايي، تشويق و مطلع نمايد</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Style w:val="Strong"/>
          <w:rFonts w:ascii="Tahoma" w:hAnsi="Tahoma" w:cs="Tahoma"/>
          <w:color w:val="666666"/>
          <w:sz w:val="15"/>
          <w:szCs w:val="15"/>
          <w:bdr w:val="none" w:sz="0" w:space="0" w:color="auto" w:frame="1"/>
          <w:rtl/>
        </w:rPr>
        <w:t>ماده۱۶ـ</w:t>
      </w:r>
      <w:r>
        <w:rPr>
          <w:rStyle w:val="apple-converted-space"/>
          <w:rFonts w:ascii="Tahoma" w:hAnsi="Tahoma" w:cs="Tahoma"/>
          <w:color w:val="666666"/>
          <w:sz w:val="15"/>
          <w:szCs w:val="15"/>
          <w:bdr w:val="none" w:sz="0" w:space="0" w:color="auto" w:frame="1"/>
        </w:rPr>
        <w:t> </w:t>
      </w:r>
      <w:r>
        <w:rPr>
          <w:rFonts w:ascii="Tahoma" w:hAnsi="Tahoma" w:cs="Tahoma"/>
          <w:color w:val="666666"/>
          <w:sz w:val="15"/>
          <w:szCs w:val="15"/>
          <w:bdr w:val="none" w:sz="0" w:space="0" w:color="auto" w:frame="1"/>
          <w:rtl/>
        </w:rPr>
        <w:t>بازرسان اتحاديه‌هاي صنفي و واحدهاي بازرسي و نظارت شوراي اصناف كشور موضوع ماده (۴۵) قانون نظام صنفي كشور ـ مصوب۱۳۸۲ـ موظفند آن دسته از واحدهاي فاقد پروانه كسب را كه جهت تشكيل پرونده و دريافت پروانه كسب به اتحاديه‌هاي صنفي مراجعه ننموده‌اند، شناسايي و جهت اجراي ماده (۲۷) قانون نظام صنفي كشور ـ مصوب۱۳۸۲ـ به نيروي انتظامي معرفي نمايند. ماده۱۷ـ نيروي انتظامي جمهوري اسلامي ايران موظف است در جهت جلوگيري از فعاليت واحدهاي صنفي فاقد پروانه كسب در اسرع وقت و با اعلام اتحاديه طبق ماده (۲۷) قانون نظام صنفي واحدهاي مزبور را تعطيل نمايد</w:t>
      </w:r>
      <w:r>
        <w:rPr>
          <w:rFonts w:ascii="Tahoma" w:hAnsi="Tahoma" w:cs="Tahoma"/>
          <w:color w:val="666666"/>
          <w:sz w:val="15"/>
          <w:szCs w:val="15"/>
          <w:bdr w:val="none" w:sz="0" w:space="0" w:color="auto" w:frame="1"/>
        </w:rPr>
        <w:t>. .</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Pr>
        <w:lastRenderedPageBreak/>
        <w:t> </w:t>
      </w:r>
      <w:r>
        <w:rPr>
          <w:rFonts w:ascii="Tahoma" w:hAnsi="Tahoma" w:cs="Tahoma"/>
          <w:color w:val="666666"/>
          <w:sz w:val="15"/>
          <w:szCs w:val="15"/>
          <w:bdr w:val="none" w:sz="0" w:space="0" w:color="auto" w:frame="1"/>
          <w:rtl/>
        </w:rPr>
        <w:t>اين تـصويب‌نامه در تـاريخ ۲۳/۶/۱۳۸۷ به تاييـد مقام محترم رياست جمهوري رسيده است</w:t>
      </w:r>
      <w:r>
        <w:rPr>
          <w:rFonts w:ascii="Tahoma" w:hAnsi="Tahoma" w:cs="Tahoma"/>
          <w:color w:val="666666"/>
          <w:sz w:val="15"/>
          <w:szCs w:val="15"/>
          <w:bdr w:val="none" w:sz="0" w:space="0" w:color="auto" w:frame="1"/>
        </w:rPr>
        <w:t>.</w:t>
      </w:r>
    </w:p>
    <w:p w:rsidR="00B2240E" w:rsidRDefault="00B2240E" w:rsidP="00B2240E">
      <w:pPr>
        <w:pStyle w:val="NormalWeb"/>
        <w:shd w:val="clear" w:color="auto" w:fill="FFFFFF"/>
        <w:spacing w:before="0" w:beforeAutospacing="0" w:after="0" w:afterAutospacing="0" w:line="250" w:lineRule="atLeast"/>
        <w:textAlignment w:val="baseline"/>
        <w:rPr>
          <w:rFonts w:ascii="Tahoma" w:hAnsi="Tahoma" w:cs="Tahoma"/>
          <w:color w:val="666666"/>
          <w:sz w:val="15"/>
          <w:szCs w:val="15"/>
        </w:rPr>
      </w:pPr>
      <w:r>
        <w:rPr>
          <w:rFonts w:ascii="Tahoma" w:hAnsi="Tahoma" w:cs="Tahoma"/>
          <w:color w:val="666666"/>
          <w:sz w:val="15"/>
          <w:szCs w:val="15"/>
          <w:bdr w:val="none" w:sz="0" w:space="0" w:color="auto" w:frame="1"/>
          <w:rtl/>
        </w:rPr>
        <w:t>معاون اول رئيس جمهور ـ پرويز داودي</w:t>
      </w:r>
    </w:p>
    <w:p w:rsidR="00CF53E3" w:rsidRDefault="00CF53E3">
      <w:pPr>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240E"/>
    <w:rsid w:val="003B2C73"/>
    <w:rsid w:val="00871DB9"/>
    <w:rsid w:val="00B2240E"/>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0E"/>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2240E"/>
    <w:rPr>
      <w:b/>
      <w:bCs/>
    </w:rPr>
  </w:style>
  <w:style w:type="character" w:customStyle="1" w:styleId="apple-converted-space">
    <w:name w:val="apple-converted-space"/>
    <w:basedOn w:val="DefaultParagraphFont"/>
    <w:rsid w:val="00B2240E"/>
  </w:style>
</w:styles>
</file>

<file path=word/webSettings.xml><?xml version="1.0" encoding="utf-8"?>
<w:webSettings xmlns:r="http://schemas.openxmlformats.org/officeDocument/2006/relationships" xmlns:w="http://schemas.openxmlformats.org/wordprocessingml/2006/main">
  <w:divs>
    <w:div w:id="2573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4796</Characters>
  <Application>Microsoft Office Word</Application>
  <DocSecurity>0</DocSecurity>
  <Lines>39</Lines>
  <Paragraphs>11</Paragraphs>
  <ScaleCrop>false</ScaleCrop>
  <Company>Grizli777</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2015-03-14T12:14:00Z</dcterms:created>
  <dcterms:modified xsi:type="dcterms:W3CDTF">2015-03-14T12:15:00Z</dcterms:modified>
</cp:coreProperties>
</file>